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636" w:type="dxa"/>
        <w:tblLayout w:type="fixed"/>
        <w:tblLook w:val="04A0" w:firstRow="1" w:lastRow="0" w:firstColumn="1" w:lastColumn="0" w:noHBand="0" w:noVBand="1"/>
      </w:tblPr>
      <w:tblGrid>
        <w:gridCol w:w="3342"/>
        <w:gridCol w:w="3150"/>
        <w:gridCol w:w="8"/>
        <w:gridCol w:w="2512"/>
        <w:gridCol w:w="6"/>
        <w:gridCol w:w="2964"/>
      </w:tblGrid>
      <w:tr w:rsidR="006E189B" w:rsidTr="006E189B">
        <w:tc>
          <w:tcPr>
            <w:tcW w:w="3342" w:type="dxa"/>
          </w:tcPr>
          <w:p w:rsidR="006E189B" w:rsidRPr="00416076" w:rsidRDefault="006E189B" w:rsidP="004D5A33">
            <w:pPr>
              <w:jc w:val="center"/>
              <w:rPr>
                <w:b/>
                <w:sz w:val="24"/>
              </w:rPr>
            </w:pPr>
            <w:r>
              <w:rPr>
                <w:b/>
                <w:sz w:val="24"/>
              </w:rPr>
              <w:t>Numbers and Operations in Base 10</w:t>
            </w:r>
          </w:p>
          <w:p w:rsidR="006E189B" w:rsidRDefault="006E189B" w:rsidP="00416076"/>
        </w:tc>
        <w:tc>
          <w:tcPr>
            <w:tcW w:w="3158" w:type="dxa"/>
            <w:gridSpan w:val="2"/>
          </w:tcPr>
          <w:p w:rsidR="006E189B" w:rsidRPr="00416076" w:rsidRDefault="006E189B" w:rsidP="00416076">
            <w:pPr>
              <w:jc w:val="center"/>
              <w:rPr>
                <w:b/>
              </w:rPr>
            </w:pPr>
            <w:r w:rsidRPr="00416076">
              <w:rPr>
                <w:b/>
                <w:sz w:val="24"/>
              </w:rPr>
              <w:t>Operations and Algebraic Thinking</w:t>
            </w:r>
          </w:p>
        </w:tc>
        <w:tc>
          <w:tcPr>
            <w:tcW w:w="2518" w:type="dxa"/>
            <w:gridSpan w:val="2"/>
          </w:tcPr>
          <w:p w:rsidR="006E189B" w:rsidRPr="00416076" w:rsidRDefault="006E189B" w:rsidP="00416076">
            <w:pPr>
              <w:jc w:val="center"/>
              <w:rPr>
                <w:b/>
              </w:rPr>
            </w:pPr>
            <w:r w:rsidRPr="00416076">
              <w:rPr>
                <w:b/>
                <w:sz w:val="24"/>
              </w:rPr>
              <w:t>Geometry</w:t>
            </w:r>
          </w:p>
        </w:tc>
        <w:tc>
          <w:tcPr>
            <w:tcW w:w="2964" w:type="dxa"/>
          </w:tcPr>
          <w:p w:rsidR="006E189B" w:rsidRPr="00416076" w:rsidRDefault="006E189B" w:rsidP="00416076">
            <w:pPr>
              <w:jc w:val="center"/>
              <w:rPr>
                <w:b/>
                <w:sz w:val="24"/>
              </w:rPr>
            </w:pPr>
            <w:r w:rsidRPr="00416076">
              <w:rPr>
                <w:b/>
                <w:sz w:val="24"/>
              </w:rPr>
              <w:t>Measurement and Data</w:t>
            </w:r>
          </w:p>
        </w:tc>
      </w:tr>
      <w:tr w:rsidR="006E189B" w:rsidTr="006E189B">
        <w:trPr>
          <w:trHeight w:val="7577"/>
        </w:trPr>
        <w:tc>
          <w:tcPr>
            <w:tcW w:w="3342" w:type="dxa"/>
          </w:tcPr>
          <w:p w:rsidR="006E189B" w:rsidRPr="006E189B" w:rsidRDefault="006E189B" w:rsidP="006E189B">
            <w:pPr>
              <w:pStyle w:val="NoSpacing"/>
              <w:rPr>
                <w:rFonts w:asciiTheme="minorHAnsi" w:hAnsiTheme="minorHAnsi"/>
                <w:sz w:val="22"/>
                <w:szCs w:val="18"/>
              </w:rPr>
            </w:pPr>
            <w:r w:rsidRPr="006E189B">
              <w:rPr>
                <w:rFonts w:asciiTheme="minorHAnsi" w:hAnsiTheme="minorHAnsi"/>
                <w:sz w:val="22"/>
                <w:szCs w:val="18"/>
              </w:rPr>
              <w:t>-</w:t>
            </w:r>
            <w:r w:rsidRPr="006E189B">
              <w:rPr>
                <w:rFonts w:asciiTheme="minorHAnsi" w:hAnsiTheme="minorHAnsi"/>
                <w:sz w:val="22"/>
                <w:szCs w:val="18"/>
              </w:rPr>
              <w:t xml:space="preserve"> Compare 2 two-digit numbers based on meanings of the tens and ones digits, recording the results of comparisons with the symbols &lt;,&gt;, and =.</w:t>
            </w:r>
          </w:p>
          <w:p w:rsidR="006E189B" w:rsidRPr="006E189B" w:rsidRDefault="006E189B" w:rsidP="006E189B">
            <w:pPr>
              <w:pStyle w:val="NoSpacing"/>
              <w:rPr>
                <w:rFonts w:asciiTheme="minorHAnsi" w:hAnsiTheme="minorHAnsi"/>
                <w:sz w:val="22"/>
                <w:szCs w:val="18"/>
              </w:rPr>
            </w:pPr>
          </w:p>
          <w:p w:rsidR="006E189B" w:rsidRPr="006E189B" w:rsidRDefault="006E189B" w:rsidP="006E189B">
            <w:pPr>
              <w:pStyle w:val="NoSpacing"/>
              <w:rPr>
                <w:rFonts w:asciiTheme="minorHAnsi" w:hAnsiTheme="minorHAnsi"/>
                <w:sz w:val="22"/>
                <w:szCs w:val="18"/>
              </w:rPr>
            </w:pPr>
            <w:r w:rsidRPr="006E189B">
              <w:rPr>
                <w:rFonts w:asciiTheme="minorHAnsi" w:hAnsiTheme="minorHAnsi"/>
                <w:sz w:val="22"/>
                <w:szCs w:val="18"/>
              </w:rPr>
              <w:t>-</w:t>
            </w:r>
            <w:r w:rsidRPr="006E189B">
              <w:rPr>
                <w:rFonts w:asciiTheme="minorHAnsi" w:hAnsiTheme="minorHAnsi"/>
                <w:sz w:val="22"/>
                <w:szCs w:val="18"/>
              </w:rPr>
              <w:t xml:space="preserve"> Understand that the two digits of a two-digit number represent amounts of tens and ones. Understand the following cases:</w:t>
            </w:r>
          </w:p>
          <w:p w:rsidR="006E189B" w:rsidRPr="006E189B" w:rsidRDefault="006E189B" w:rsidP="006E189B">
            <w:pPr>
              <w:pStyle w:val="NoSpacing"/>
              <w:rPr>
                <w:rFonts w:asciiTheme="minorHAnsi" w:hAnsiTheme="minorHAnsi"/>
                <w:sz w:val="22"/>
                <w:szCs w:val="18"/>
              </w:rPr>
            </w:pPr>
          </w:p>
          <w:p w:rsidR="006E189B" w:rsidRPr="006E189B" w:rsidRDefault="006E189B" w:rsidP="006E189B">
            <w:pPr>
              <w:pStyle w:val="NoSpacing"/>
              <w:rPr>
                <w:rFonts w:asciiTheme="minorHAnsi" w:hAnsiTheme="minorHAnsi"/>
                <w:sz w:val="22"/>
                <w:szCs w:val="18"/>
              </w:rPr>
            </w:pPr>
            <w:r w:rsidRPr="006E189B">
              <w:rPr>
                <w:rFonts w:asciiTheme="minorHAnsi" w:hAnsiTheme="minorHAnsi"/>
                <w:sz w:val="22"/>
                <w:szCs w:val="18"/>
              </w:rPr>
              <w:t>-</w:t>
            </w:r>
            <w:r w:rsidRPr="006E189B">
              <w:rPr>
                <w:rFonts w:asciiTheme="minorHAnsi" w:hAnsiTheme="minorHAnsi"/>
                <w:sz w:val="22"/>
                <w:szCs w:val="18"/>
              </w:rPr>
              <w:t xml:space="preserve"> Count to 120, starting at any number less than 120. In this range, read and write numerals and represent a number of objects with a written numeral. </w:t>
            </w:r>
          </w:p>
          <w:p w:rsidR="006E189B" w:rsidRPr="006E189B" w:rsidRDefault="006E189B" w:rsidP="006E189B">
            <w:pPr>
              <w:pStyle w:val="NoSpacing"/>
              <w:rPr>
                <w:rFonts w:asciiTheme="minorHAnsi" w:hAnsiTheme="minorHAnsi"/>
                <w:sz w:val="22"/>
              </w:rPr>
            </w:pPr>
          </w:p>
        </w:tc>
        <w:tc>
          <w:tcPr>
            <w:tcW w:w="3150" w:type="dxa"/>
          </w:tcPr>
          <w:p w:rsidR="006E189B" w:rsidRPr="006E189B" w:rsidRDefault="006E189B" w:rsidP="006E189B">
            <w:pPr>
              <w:pStyle w:val="Default"/>
              <w:rPr>
                <w:rFonts w:asciiTheme="minorHAnsi" w:hAnsiTheme="minorHAnsi" w:cs="Tahoma"/>
                <w:sz w:val="20"/>
                <w:szCs w:val="16"/>
              </w:rPr>
            </w:pPr>
            <w:r w:rsidRPr="006E189B">
              <w:rPr>
                <w:rFonts w:asciiTheme="minorHAnsi" w:hAnsiTheme="minorHAnsi" w:cs="Tahoma"/>
                <w:sz w:val="20"/>
                <w:szCs w:val="16"/>
              </w:rPr>
              <w:t>-</w:t>
            </w:r>
            <w:r w:rsidRPr="006E189B">
              <w:rPr>
                <w:rFonts w:asciiTheme="minorHAnsi" w:hAnsiTheme="minorHAnsi" w:cs="Tahoma"/>
                <w:sz w:val="20"/>
                <w:szCs w:val="16"/>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 </w:t>
            </w:r>
          </w:p>
          <w:p w:rsidR="006E189B" w:rsidRPr="006E189B" w:rsidRDefault="006E189B" w:rsidP="006E189B">
            <w:pPr>
              <w:rPr>
                <w:sz w:val="28"/>
              </w:rPr>
            </w:pPr>
          </w:p>
          <w:p w:rsidR="006E189B" w:rsidRPr="006E189B" w:rsidRDefault="006E189B" w:rsidP="006E189B">
            <w:pPr>
              <w:pStyle w:val="Default"/>
              <w:rPr>
                <w:rFonts w:asciiTheme="minorHAnsi" w:hAnsiTheme="minorHAnsi" w:cs="Tahoma"/>
                <w:sz w:val="20"/>
                <w:szCs w:val="16"/>
              </w:rPr>
            </w:pPr>
            <w:r w:rsidRPr="006E189B">
              <w:rPr>
                <w:rFonts w:asciiTheme="minorHAnsi" w:hAnsiTheme="minorHAnsi" w:cs="Tahoma"/>
                <w:sz w:val="20"/>
                <w:szCs w:val="16"/>
              </w:rPr>
              <w:t>-</w:t>
            </w:r>
            <w:r w:rsidRPr="006E189B">
              <w:rPr>
                <w:rFonts w:asciiTheme="minorHAnsi" w:hAnsiTheme="minorHAnsi" w:cs="Tahoma"/>
                <w:sz w:val="20"/>
                <w:szCs w:val="16"/>
              </w:rPr>
              <w:t xml:space="preserve"> Apply properties of operations as strategies to add and subtract </w:t>
            </w:r>
          </w:p>
          <w:p w:rsidR="006E189B" w:rsidRPr="006E189B" w:rsidRDefault="006E189B" w:rsidP="006E189B">
            <w:pPr>
              <w:pStyle w:val="Default"/>
              <w:rPr>
                <w:rFonts w:asciiTheme="minorHAnsi" w:hAnsiTheme="minorHAnsi" w:cs="Tahoma"/>
                <w:sz w:val="20"/>
                <w:szCs w:val="16"/>
              </w:rPr>
            </w:pPr>
            <w:r w:rsidRPr="006E189B">
              <w:rPr>
                <w:rFonts w:asciiTheme="minorHAnsi" w:hAnsiTheme="minorHAnsi" w:cs="Tahoma"/>
                <w:i/>
                <w:iCs/>
                <w:sz w:val="20"/>
                <w:szCs w:val="16"/>
              </w:rPr>
              <w:t xml:space="preserve">Examples: If 8 + 3 = 11 is known, then 3 + 8 = 11 is also known. (Commutative property of addition.) To add 2 + 6 + 4, the second two numbers can be added to make a ten, so 2 + 6 + 4 = 2 + 10 = 12. </w:t>
            </w:r>
          </w:p>
          <w:p w:rsidR="006E189B" w:rsidRPr="006E189B" w:rsidRDefault="006E189B" w:rsidP="006E189B">
            <w:pPr>
              <w:rPr>
                <w:sz w:val="28"/>
              </w:rPr>
            </w:pPr>
          </w:p>
          <w:p w:rsidR="006E189B" w:rsidRPr="006E189B" w:rsidRDefault="006E189B" w:rsidP="006E189B">
            <w:pPr>
              <w:pStyle w:val="Default"/>
              <w:rPr>
                <w:rFonts w:asciiTheme="minorHAnsi" w:hAnsiTheme="minorHAnsi" w:cs="Tahoma"/>
                <w:sz w:val="20"/>
                <w:szCs w:val="16"/>
              </w:rPr>
            </w:pPr>
            <w:r w:rsidRPr="006E189B">
              <w:rPr>
                <w:rFonts w:asciiTheme="minorHAnsi" w:hAnsiTheme="minorHAnsi" w:cs="Tahoma"/>
                <w:sz w:val="20"/>
                <w:szCs w:val="16"/>
              </w:rPr>
              <w:t>-</w:t>
            </w:r>
            <w:r w:rsidRPr="006E189B">
              <w:rPr>
                <w:rFonts w:asciiTheme="minorHAnsi" w:hAnsiTheme="minorHAnsi" w:cs="Tahoma"/>
                <w:sz w:val="20"/>
                <w:szCs w:val="16"/>
              </w:rPr>
              <w:t xml:space="preserve"> Add and subtract within 20, demonstrating fluency for addition and subtraction within 10. Use strategies such as counting on; making ten; decomposing a number leading to a ten</w:t>
            </w:r>
            <w:r w:rsidRPr="006E189B">
              <w:rPr>
                <w:rFonts w:asciiTheme="minorHAnsi" w:hAnsiTheme="minorHAnsi" w:cs="Tahoma"/>
                <w:i/>
                <w:iCs/>
                <w:sz w:val="20"/>
                <w:szCs w:val="16"/>
              </w:rPr>
              <w:t>;</w:t>
            </w:r>
            <w:r w:rsidRPr="006E189B">
              <w:rPr>
                <w:rFonts w:asciiTheme="minorHAnsi" w:hAnsiTheme="minorHAnsi" w:cs="Tahoma"/>
                <w:sz w:val="20"/>
                <w:szCs w:val="16"/>
              </w:rPr>
              <w:t xml:space="preserve"> using the relationship between addition and subtraction.</w:t>
            </w:r>
            <w:r w:rsidRPr="006E189B">
              <w:rPr>
                <w:rFonts w:asciiTheme="minorHAnsi" w:hAnsiTheme="minorHAnsi" w:cs="Tahoma"/>
                <w:i/>
                <w:iCs/>
                <w:sz w:val="20"/>
                <w:szCs w:val="16"/>
              </w:rPr>
              <w:t xml:space="preserve"> </w:t>
            </w:r>
          </w:p>
          <w:p w:rsidR="006E189B" w:rsidRDefault="006E189B" w:rsidP="006E189B"/>
        </w:tc>
        <w:tc>
          <w:tcPr>
            <w:tcW w:w="2520" w:type="dxa"/>
            <w:gridSpan w:val="2"/>
          </w:tcPr>
          <w:p w:rsidR="006E189B" w:rsidRPr="006E189B" w:rsidRDefault="006E189B" w:rsidP="006E189B">
            <w:pPr>
              <w:pStyle w:val="NoSpacing"/>
              <w:rPr>
                <w:rFonts w:asciiTheme="minorHAnsi" w:hAnsiTheme="minorHAnsi"/>
              </w:rPr>
            </w:pPr>
            <w:r w:rsidRPr="006E189B">
              <w:rPr>
                <w:rFonts w:asciiTheme="minorHAnsi" w:hAnsiTheme="minorHAnsi"/>
                <w:sz w:val="22"/>
                <w:szCs w:val="18"/>
              </w:rPr>
              <w:t>-</w:t>
            </w:r>
            <w:r w:rsidRPr="006E189B">
              <w:rPr>
                <w:rFonts w:asciiTheme="minorHAnsi" w:hAnsiTheme="minorHAnsi"/>
                <w:sz w:val="22"/>
                <w:szCs w:val="18"/>
              </w:rPr>
              <w:t xml:space="preserve"> Partition circles and rectangles</w:t>
            </w:r>
            <w:r>
              <w:rPr>
                <w:rFonts w:asciiTheme="minorHAnsi" w:hAnsiTheme="minorHAnsi"/>
                <w:sz w:val="22"/>
                <w:szCs w:val="18"/>
              </w:rPr>
              <w:t xml:space="preserve"> into two and four equal shares</w:t>
            </w:r>
            <w:r w:rsidRPr="006E189B">
              <w:rPr>
                <w:rFonts w:asciiTheme="minorHAnsi" w:hAnsiTheme="minorHAnsi"/>
                <w:sz w:val="22"/>
                <w:szCs w:val="18"/>
              </w:rPr>
              <w:t xml:space="preserve"> using words halves, fourths, and quarters and used the phrases half of, fourth of, quarter of.  Describe the whole as two of, or four of the shares. Understand for these examples that decomposing into more equal shares creates smaller shares.</w:t>
            </w:r>
          </w:p>
        </w:tc>
        <w:tc>
          <w:tcPr>
            <w:tcW w:w="2970" w:type="dxa"/>
            <w:gridSpan w:val="2"/>
          </w:tcPr>
          <w:p w:rsidR="006E189B" w:rsidRPr="006E189B" w:rsidRDefault="006E189B" w:rsidP="006E189B">
            <w:pPr>
              <w:pStyle w:val="NoSpacing"/>
              <w:rPr>
                <w:rFonts w:asciiTheme="minorHAnsi" w:hAnsiTheme="minorHAnsi"/>
                <w:sz w:val="20"/>
                <w:szCs w:val="18"/>
              </w:rPr>
            </w:pPr>
            <w:r w:rsidRPr="006E189B">
              <w:rPr>
                <w:rFonts w:asciiTheme="minorHAnsi" w:hAnsiTheme="minorHAnsi"/>
                <w:sz w:val="20"/>
                <w:szCs w:val="18"/>
              </w:rPr>
              <w:t>-</w:t>
            </w:r>
            <w:r w:rsidRPr="006E189B">
              <w:rPr>
                <w:rFonts w:asciiTheme="minorHAnsi" w:hAnsiTheme="minorHAnsi"/>
                <w:sz w:val="20"/>
                <w:szCs w:val="18"/>
              </w:rPr>
              <w:t xml:space="preserve"> Express the length of an object as a whole number of length units, by </w:t>
            </w:r>
            <w:proofErr w:type="gramStart"/>
            <w:r w:rsidRPr="006E189B">
              <w:rPr>
                <w:rFonts w:asciiTheme="minorHAnsi" w:hAnsiTheme="minorHAnsi"/>
                <w:sz w:val="20"/>
                <w:szCs w:val="18"/>
              </w:rPr>
              <w:t>laying</w:t>
            </w:r>
            <w:proofErr w:type="gramEnd"/>
            <w:r w:rsidRPr="006E189B">
              <w:rPr>
                <w:rFonts w:asciiTheme="minorHAnsi" w:hAnsiTheme="minorHAnsi"/>
                <w:sz w:val="20"/>
                <w:szCs w:val="18"/>
              </w:rPr>
              <w:t xml:space="preserve"> multiple copies of a shorter object (the length unit) end to end; understand that the length measurement of an object is the number of same-size length units that span it with no gaps or overlaps.  </w:t>
            </w:r>
          </w:p>
          <w:p w:rsidR="006E189B" w:rsidRPr="006E189B" w:rsidRDefault="006E189B" w:rsidP="006E189B">
            <w:pPr>
              <w:pStyle w:val="NoSpacing"/>
              <w:rPr>
                <w:rFonts w:asciiTheme="minorHAnsi" w:hAnsiTheme="minorHAnsi"/>
                <w:sz w:val="20"/>
                <w:szCs w:val="18"/>
              </w:rPr>
            </w:pPr>
            <w:r w:rsidRPr="006E189B">
              <w:rPr>
                <w:rFonts w:asciiTheme="minorHAnsi" w:hAnsiTheme="minorHAnsi"/>
                <w:sz w:val="20"/>
                <w:szCs w:val="18"/>
              </w:rPr>
              <w:t xml:space="preserve">Limit to contexts where the object being measured is spanned by a whole number of length units with no gaps or overlaps. </w:t>
            </w:r>
          </w:p>
          <w:p w:rsidR="006E189B" w:rsidRPr="006E189B" w:rsidRDefault="006E189B" w:rsidP="006E189B">
            <w:pPr>
              <w:pStyle w:val="NoSpacing"/>
              <w:rPr>
                <w:rFonts w:asciiTheme="minorHAnsi" w:hAnsiTheme="minorHAnsi"/>
                <w:sz w:val="32"/>
              </w:rPr>
            </w:pPr>
          </w:p>
          <w:p w:rsidR="006E189B" w:rsidRPr="006E189B" w:rsidRDefault="006E189B" w:rsidP="006E189B">
            <w:pPr>
              <w:rPr>
                <w:sz w:val="20"/>
                <w:szCs w:val="18"/>
              </w:rPr>
            </w:pPr>
            <w:r w:rsidRPr="006E189B">
              <w:rPr>
                <w:sz w:val="20"/>
                <w:szCs w:val="18"/>
              </w:rPr>
              <w:t>-</w:t>
            </w:r>
            <w:r w:rsidRPr="006E189B">
              <w:rPr>
                <w:sz w:val="20"/>
                <w:szCs w:val="18"/>
              </w:rPr>
              <w:t xml:space="preserve"> Tell and write time in hours and half-hours using analog and digital clocks. </w:t>
            </w:r>
          </w:p>
          <w:p w:rsidR="006E189B" w:rsidRPr="006E189B" w:rsidRDefault="006E189B" w:rsidP="006E189B">
            <w:pPr>
              <w:rPr>
                <w:sz w:val="20"/>
                <w:szCs w:val="18"/>
              </w:rPr>
            </w:pPr>
            <w:r w:rsidRPr="006E189B">
              <w:rPr>
                <w:sz w:val="20"/>
                <w:szCs w:val="18"/>
              </w:rPr>
              <w:t xml:space="preserve">Represent and interpret data. </w:t>
            </w:r>
          </w:p>
          <w:p w:rsidR="006E189B" w:rsidRPr="006E189B" w:rsidRDefault="006E189B" w:rsidP="006E189B">
            <w:pPr>
              <w:pStyle w:val="NoSpacing"/>
              <w:rPr>
                <w:rFonts w:asciiTheme="minorHAnsi" w:hAnsiTheme="minorHAnsi"/>
                <w:sz w:val="20"/>
                <w:szCs w:val="18"/>
              </w:rPr>
            </w:pPr>
          </w:p>
          <w:p w:rsidR="006E189B" w:rsidRDefault="006E189B" w:rsidP="006E189B">
            <w:pPr>
              <w:pStyle w:val="NoSpacing"/>
            </w:pPr>
            <w:r w:rsidRPr="006E189B">
              <w:rPr>
                <w:rFonts w:asciiTheme="minorHAnsi" w:hAnsiTheme="minorHAnsi"/>
                <w:sz w:val="20"/>
                <w:szCs w:val="18"/>
              </w:rPr>
              <w:t>-</w:t>
            </w:r>
            <w:r w:rsidRPr="006E189B">
              <w:rPr>
                <w:rFonts w:asciiTheme="minorHAnsi" w:hAnsiTheme="minorHAnsi"/>
                <w:sz w:val="20"/>
                <w:szCs w:val="18"/>
              </w:rPr>
              <w:t xml:space="preserve"> Organize, represent, and interpret data with up to three categories; ask and answer question</w:t>
            </w:r>
            <w:bookmarkStart w:id="0" w:name="_GoBack"/>
            <w:bookmarkEnd w:id="0"/>
            <w:r w:rsidRPr="006E189B">
              <w:rPr>
                <w:rFonts w:asciiTheme="minorHAnsi" w:hAnsiTheme="minorHAnsi"/>
                <w:sz w:val="20"/>
                <w:szCs w:val="18"/>
              </w:rPr>
              <w:t>s about the total number of data points, how many in each category, and how many more or less are in one category than in another.</w:t>
            </w:r>
          </w:p>
        </w:tc>
      </w:tr>
    </w:tbl>
    <w:p w:rsidR="00EA1BA2" w:rsidRDefault="006E189B"/>
    <w:sectPr w:rsidR="00EA1BA2" w:rsidSect="004D5A33">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076" w:rsidRDefault="00416076" w:rsidP="00416076">
      <w:pPr>
        <w:spacing w:after="0" w:line="240" w:lineRule="auto"/>
      </w:pPr>
      <w:r>
        <w:separator/>
      </w:r>
    </w:p>
  </w:endnote>
  <w:endnote w:type="continuationSeparator" w:id="0">
    <w:p w:rsidR="00416076" w:rsidRDefault="00416076" w:rsidP="00416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409020205090404"/>
    <w:charset w:val="00"/>
    <w:family w:val="modern"/>
    <w:pitch w:val="fixed"/>
    <w:sig w:usb0="E0000AFF" w:usb1="40007843" w:usb2="00000001" w:usb3="00000000" w:csb0="000001BF" w:csb1="00000000"/>
  </w:font>
  <w:font w:name="Wingdings">
    <w:panose1 w:val="05000000000000000000"/>
    <w:charset w:val="02"/>
    <w:family w:val="decorative"/>
    <w:notTrueTyp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076" w:rsidRDefault="00416076" w:rsidP="00416076">
      <w:pPr>
        <w:spacing w:after="0" w:line="240" w:lineRule="auto"/>
      </w:pPr>
      <w:r>
        <w:separator/>
      </w:r>
    </w:p>
  </w:footnote>
  <w:footnote w:type="continuationSeparator" w:id="0">
    <w:p w:rsidR="00416076" w:rsidRDefault="00416076" w:rsidP="004160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076" w:rsidRPr="00416076" w:rsidRDefault="006E189B" w:rsidP="00416076">
    <w:pPr>
      <w:pStyle w:val="Header"/>
      <w:jc w:val="center"/>
      <w:rPr>
        <w:sz w:val="28"/>
      </w:rPr>
    </w:pPr>
    <w:r>
      <w:rPr>
        <w:sz w:val="28"/>
      </w:rPr>
      <w:t>First Grade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53CC6"/>
    <w:multiLevelType w:val="hybridMultilevel"/>
    <w:tmpl w:val="7F76713E"/>
    <w:lvl w:ilvl="0" w:tplc="EEC0FBE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546646"/>
    <w:multiLevelType w:val="hybridMultilevel"/>
    <w:tmpl w:val="2450585C"/>
    <w:lvl w:ilvl="0" w:tplc="E0C6861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A33"/>
    <w:rsid w:val="00091E20"/>
    <w:rsid w:val="00416076"/>
    <w:rsid w:val="004D5A33"/>
    <w:rsid w:val="006E189B"/>
    <w:rsid w:val="00BC1C7A"/>
    <w:rsid w:val="00C43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5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D5A33"/>
    <w:pPr>
      <w:spacing w:after="0" w:line="240" w:lineRule="auto"/>
    </w:pPr>
    <w:rPr>
      <w:rFonts w:ascii="Tahoma" w:hAnsi="Tahoma"/>
      <w:sz w:val="24"/>
      <w:szCs w:val="24"/>
    </w:rPr>
  </w:style>
  <w:style w:type="paragraph" w:styleId="Header">
    <w:name w:val="header"/>
    <w:basedOn w:val="Normal"/>
    <w:link w:val="HeaderChar"/>
    <w:uiPriority w:val="99"/>
    <w:unhideWhenUsed/>
    <w:rsid w:val="00416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076"/>
  </w:style>
  <w:style w:type="paragraph" w:styleId="Footer">
    <w:name w:val="footer"/>
    <w:basedOn w:val="Normal"/>
    <w:link w:val="FooterChar"/>
    <w:uiPriority w:val="99"/>
    <w:unhideWhenUsed/>
    <w:rsid w:val="00416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076"/>
  </w:style>
  <w:style w:type="paragraph" w:customStyle="1" w:styleId="Default">
    <w:name w:val="Default"/>
    <w:rsid w:val="006E189B"/>
    <w:pPr>
      <w:widowControl w:val="0"/>
      <w:autoSpaceDE w:val="0"/>
      <w:autoSpaceDN w:val="0"/>
      <w:adjustRightInd w:val="0"/>
      <w:spacing w:after="0" w:line="240" w:lineRule="auto"/>
    </w:pPr>
    <w:rPr>
      <w:rFonts w:ascii="Arial" w:eastAsiaTheme="minorEastAsia"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5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D5A33"/>
    <w:pPr>
      <w:spacing w:after="0" w:line="240" w:lineRule="auto"/>
    </w:pPr>
    <w:rPr>
      <w:rFonts w:ascii="Tahoma" w:hAnsi="Tahoma"/>
      <w:sz w:val="24"/>
      <w:szCs w:val="24"/>
    </w:rPr>
  </w:style>
  <w:style w:type="paragraph" w:styleId="Header">
    <w:name w:val="header"/>
    <w:basedOn w:val="Normal"/>
    <w:link w:val="HeaderChar"/>
    <w:uiPriority w:val="99"/>
    <w:unhideWhenUsed/>
    <w:rsid w:val="00416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076"/>
  </w:style>
  <w:style w:type="paragraph" w:styleId="Footer">
    <w:name w:val="footer"/>
    <w:basedOn w:val="Normal"/>
    <w:link w:val="FooterChar"/>
    <w:uiPriority w:val="99"/>
    <w:unhideWhenUsed/>
    <w:rsid w:val="00416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076"/>
  </w:style>
  <w:style w:type="paragraph" w:customStyle="1" w:styleId="Default">
    <w:name w:val="Default"/>
    <w:rsid w:val="006E189B"/>
    <w:pPr>
      <w:widowControl w:val="0"/>
      <w:autoSpaceDE w:val="0"/>
      <w:autoSpaceDN w:val="0"/>
      <w:adjustRightInd w:val="0"/>
      <w:spacing w:after="0" w:line="240" w:lineRule="auto"/>
    </w:pPr>
    <w:rPr>
      <w:rFonts w:ascii="Arial" w:eastAsiaTheme="minorEastAsia"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 Browning</dc:creator>
  <cp:lastModifiedBy>Brittany Browning</cp:lastModifiedBy>
  <cp:revision>2</cp:revision>
  <dcterms:created xsi:type="dcterms:W3CDTF">2014-06-04T14:20:00Z</dcterms:created>
  <dcterms:modified xsi:type="dcterms:W3CDTF">2014-06-04T14:20:00Z</dcterms:modified>
</cp:coreProperties>
</file>